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rPr>
          <w:rFonts w:ascii="Times New Roman" w:hAnsi="Times New Roman"/>
          <w:b/>
          <w:sz w:val="28"/>
        </w:rPr>
        <w:t>ВЪТРЕШНИ ПРАВИЛА</w:t>
      </w:r>
    </w:p>
    <w:p>
      <w:pPr>
        <w:pStyle w:val="Heading1"/>
        <w:jc w:val="center"/>
      </w:pPr>
      <w:r>
        <w:rPr>
          <w:rFonts w:ascii="Times New Roman" w:hAnsi="Times New Roman"/>
          <w:b/>
          <w:sz w:val="28"/>
        </w:rPr>
        <w:t>ЗА ОБРАБОТВАНЕ И ЗАЩИТА НА ЛИЧНИ ДАННИ</w:t>
      </w:r>
    </w:p>
    <w:p/>
    <w:p>
      <w:pPr>
        <w:spacing w:after="120"/>
      </w:pPr>
      <w:r>
        <w:rPr>
          <w:rFonts w:ascii="Times New Roman" w:hAnsi="Times New Roman"/>
          <w:sz w:val="24"/>
        </w:rPr>
        <w:t>Настоящите вътрешни правила уреждат организацията и реда за обработване и защита на лични данни от страна на {{ host_names_bg }}, ЕИК {{ host_eik }} (По-долу Администратор), в съответствие с Регламент (ЕС) 2016/679 и Закона за защита на личните данни.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Чл. 1. Обхват и цели на обработване</w:t>
      </w:r>
    </w:p>
    <w:p>
      <w:pPr>
        <w:spacing w:after="120"/>
      </w:pPr>
      <w:r>
        <w:rPr>
          <w:rFonts w:ascii="Times New Roman" w:hAnsi="Times New Roman"/>
          <w:sz w:val="24"/>
        </w:rPr>
        <w:t>Администраторът обработва лични данни на гости в обект {{ object_address_full }} за: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Водене на регистър на туристите (законово задължение — чл. 116 ЗТ);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Изпълнение на договора за наем;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Данъчни и осигурителни задължения към НАП.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Чл. 2. Категории данни и срокове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Идентификационни: три имена, дата на раждане, ЕГН/номер на документ, гражданство;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Адресни: постоянен адрес;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Контактни: телефон, e-mail (при доброволно предоставяне).</w:t>
      </w:r>
    </w:p>
    <w:p>
      <w:pPr>
        <w:spacing w:after="120"/>
      </w:pPr>
      <w:r>
        <w:rPr>
          <w:rFonts w:ascii="Times New Roman" w:hAnsi="Times New Roman"/>
          <w:sz w:val="24"/>
        </w:rPr>
        <w:t>Срок на съхранение: 5 години (Тест), 10 години за счетоводни документи.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Чл. 3. Технически и организационни мерки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Регистърът на туристите се съхранява заключен с ограничен пристъп.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Електронните копия се съхраняват на устройство с парола и/или криптиране.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При нарушение на сигурността Администраторът уведомява КЗЛД в срок от 72 часа.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Чл. 4. Процедура при искане от субект на данни</w:t>
      </w:r>
    </w:p>
    <w:p>
      <w:pPr>
        <w:spacing w:after="120"/>
      </w:pPr>
      <w:r>
        <w:rPr>
          <w:rFonts w:ascii="Times New Roman" w:hAnsi="Times New Roman"/>
          <w:sz w:val="24"/>
        </w:rPr>
        <w:t>4.1. Искането се подава писмено до {{ host_email }}.</w:t>
      </w:r>
    </w:p>
    <w:p>
      <w:pPr>
        <w:spacing w:after="120"/>
      </w:pPr>
      <w:r>
        <w:rPr>
          <w:rFonts w:ascii="Times New Roman" w:hAnsi="Times New Roman"/>
          <w:sz w:val="24"/>
        </w:rPr>
        <w:t>4.2. Администраторът идентифицира лицето преди предоставяне на информация.</w:t>
      </w:r>
    </w:p>
    <w:p>
      <w:pPr>
        <w:spacing w:after="120"/>
      </w:pPr>
      <w:r>
        <w:rPr>
          <w:rFonts w:ascii="Times New Roman" w:hAnsi="Times New Roman"/>
          <w:sz w:val="24"/>
        </w:rPr>
        <w:t>4.3. Отговорът се предоставя в срок до 1 месец (при нужда — до 3 месеца).</w:t>
      </w:r>
    </w:p>
    <w:p>
      <w:pPr>
        <w:spacing w:after="120"/>
      </w:pPr>
      <w:r>
        <w:rPr>
          <w:rFonts w:ascii="Times New Roman" w:hAnsi="Times New Roman"/>
          <w:sz w:val="24"/>
        </w:rPr>
        <w:t>4.4. Отговорът е безплатен.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Чл. 5. Актуализация</w:t>
      </w:r>
    </w:p>
    <w:p>
      <w:pPr>
        <w:spacing w:after="120"/>
      </w:pPr>
      <w:r>
        <w:rPr>
          <w:rFonts w:ascii="Times New Roman" w:hAnsi="Times New Roman"/>
          <w:sz w:val="24"/>
        </w:rPr>
        <w:t>Правилата са в сила от {{ policy_date }}. Администратор: {{ host_names_bg }}</w:t>
      </w:r>
    </w:p>
    <w:p/>
    <w:p/>
    <w:p>
      <w:pPr>
        <w:spacing w:after="120"/>
      </w:pPr>
      <w:r>
        <w:rPr>
          <w:rFonts w:ascii="Times New Roman" w:hAnsi="Times New Roman"/>
          <w:sz w:val="24"/>
        </w:rPr>
        <w:t>Дата: ___.____.________        Подпис: _____________________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